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PrüfVBau (Bayern) — Ordnungswidrigkeiten</w:t>
      </w:r>
    </w:p>
    <w:p>
      <w:r>
        <w:rPr>
          <w:color w:val="555555"/>
          <w:sz w:val="18"/>
        </w:rPr>
        <w:t xml:space="preserve">Prüfsachverständigenverordnung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Nach Art. 79 Abs. 1 Satz 1 Nr. 1 BayBO kann mit Geldbuße bis zu fünfhunderttausend Euro belegt werden, wer entgegen § 8 die Bezeichnung Prüfingenieur oder Prüfsachverständiger führt.</w:t>
      </w:r>
    </w:p>
    <w:p>
      <w:r>
        <w:t xml:space="preserve">(2) Nach Art. 79 Abs. 1 Satz 1 Nr. 1 BayBO kann mit Geldbuße bis zu fünfhunderttausend Euro belegt werden, wer entgegen § 28 Abs. 5 einen Nachlass auf das Honorar gewährt.</w:t>
      </w:r>
    </w:p>
    <w:p>
      <w:r>
        <w:rPr>
          <w:color w:val="555555"/>
          <w:sz w:val="17"/>
        </w:rPr>
        <w:t xml:space="preserve">Zitiervorschlag: § 37 PrüfVBau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https://recht.nulegal.eu/gesetze/Pr%C3%BCfVBau/37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