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PrüfVBau (Bayern) — Vergütung für die Prüfsachverständigen für Brandschutz, für die Prüfung sicherheitstechnischer Anlagen und Einrichtungen sowie für Erd- und Grundbau</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Prüfsachverständigen für Brandschutz, für die Prüfung sicherheitstechnischer Anlagen und Einrichtungen sowie für Erd- und Grundbau erhalten für ihre Tätigkeit ein Honorar und die notwendigen Auslagen. Das Honorar wird nach dem Zeitaufwand abgerechnet. Bei der Berechnung des Honorars ist die Zeit anzusetzen, die unter regelmäßigen Verhältnissen von einer entsprechend ausgebildeten Fachkraft benötigt wird. § 28 Abs. 1, 3 bis 5, § 30 Abs. 6, § 31 Abs. 5 Sätze 2 bis 5, § 34 Abs. 1 Satz 2, Abs. 2 Satz 1 sowie § 37 Abs. 2 gelten entsprechend.</w:t>
      </w:r>
    </w:p>
    <w:p>
      <w:r>
        <w:t xml:space="preserve">(2) Als Mindesthonorar gilt der zweifache Stundensatz nach § 31 Abs. 5 Sätze 2 bis 5.</w:t>
      </w:r>
    </w:p>
    <w:p>
      <w:r>
        <w:rPr>
          <w:color w:val="555555"/>
          <w:sz w:val="17"/>
        </w:rPr>
        <w:t xml:space="preserve">Zitiervorschlag: § 35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