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PrüfVBau (Bayern) — Vergütung der Prüfämter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Prüfämter erhalten eine Vergütung nach Maßgabe der §§ 28 bis 31 sowie nach den folgenden Vorschriften.</w:t>
      </w:r>
    </w:p>
    <w:p>
      <w:r>
        <w:t xml:space="preserve">(2) Für die Typenprüfung (§ 15) einschließlich der Prüfung von Bemessungstabellen und für die Verlängerung der Geltungsdauer von Typenprüfungen ist das Zweifache der nach dem Zeitaufwand ermittelten Gebühr zu erheben.</w:t>
      </w:r>
    </w:p>
    <w:p>
      <w:r>
        <w:rPr>
          <w:color w:val="555555"/>
          <w:sz w:val="17"/>
        </w:rPr>
        <w:t xml:space="preserve">Zitiervorschlag: § 33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