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PrüfVBau (Bayern) — Höhe der Vergütung</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Prüfingenieur und der Prüfsachverständige für Standsicherheit erhalten:</w:t>
      </w:r>
    </w:p>
    <w:p>
      <w:r>
        <w:t xml:space="preserve">1. für die Prüfung der rechnerischen Nachweise der Standsicherheit</w:t>
      </w:r>
    </w:p>
    <w:p>
      <w:r>
        <w:t xml:space="preserve">die Grundgebühr oder das Grundhonorar nach Anlage 3,</w:t>
      </w:r>
    </w:p>
    <w:p>
      <w:r>
        <w:t xml:space="preserve">2. für die Prüfung der zugehörigen Konstruktionszeichnungen in statisch-konstruktiver Hinsicht</w:t>
      </w:r>
    </w:p>
    <w:p>
      <w:r>
        <w:t xml:space="preserve">die Hälfte der Gebühr oder des Honorars nach Nr. 1,</w:t>
      </w:r>
    </w:p>
    <w:p>
      <w:r>
        <w:t xml:space="preserve">3. für die Prüfung von Elementplänen des Fertigteilbaus sowie Werkstattzeichnungen des Metall- und Ingenieurholzbaus</w:t>
      </w:r>
    </w:p>
    <w:p>
      <w:r>
        <w:t xml:space="preserve">je nach dem zusätzlichen Aufwand einen Zuschlag zur Gebühr oder zum Honorar nach Nr. 2 bis zur Hälfte der Gebühr oder des Honorars nach Nr. 1,</w:t>
      </w:r>
    </w:p>
    <w:p>
      <w:r>
        <w:t xml:space="preserve">4. für die Prüfung</w:t>
      </w:r>
    </w:p>
    <w:p>
      <w:r>
        <w:t xml:space="preserve">a) des Nachweises der Feuerwiderstandsfähigkeit der tragenden Bauteile</w:t>
      </w:r>
    </w:p>
    <w:p>
      <w:r>
        <w:t xml:space="preserve">ein Zwanzigstel der Gebühr oder des Honorars nach Nr. 1, höchstens jedoch ein Zwanzigstel der sich aus der Bauwerksklasse 3 ergebenden Gebühr oder des Honorars nach Nr. 1,</w:t>
      </w:r>
    </w:p>
    <w:p>
      <w:r>
        <w:t xml:space="preserve">b) der Konstruktionszeichnungen auf Übereinstimmung mit dem Nachweis bzw. auf Einhaltung weiterer Forderungen nach lfd. Nr. 3.1 der Liste der Technischen Baubestimmungen, falls eine Feuerwiderstandsfähigkeit höher als feuerhemmend zu berücksichtigen ist,</w:t>
      </w:r>
    </w:p>
    <w:p>
      <w:r>
        <w:t xml:space="preserve">ein Zehntel der Gebühr oder des Honorars nach Nr. 1, höchstens jedoch je ein Zehntel der sich aus der Bauwerksklasse 3 ergebenden Gebühr oder des Honorars nach Nr. 1,</w:t>
      </w:r>
    </w:p>
    <w:p>
      <w:r>
        <w:t xml:space="preserve">5. für die Prüfung der rechnerischen Nachweise für bauliche Anlagen der Bauwerksklassen 3 bis 5 (Anlage 2), wenn diese nur durch besondere elektronische Vergleichsrechnungen an komplexen räumlichen Tragsystemen (Untersuchung am Gesamtsystem) geprüft werden können,</w:t>
      </w:r>
    </w:p>
    <w:p>
      <w:r>
        <w:t xml:space="preserve">je nach dem zusätzlichen Aufwand einen Zuschlag bis zu drei Vierteln der Gebühr oder des Honorars nach Nr. 1,</w:t>
      </w:r>
    </w:p>
    <w:p>
      <w:r>
        <w:t xml:space="preserve">6. für die Prüfung einer Lastvorberechnung</w:t>
      </w:r>
    </w:p>
    <w:p>
      <w:r>
        <w:t xml:space="preserve">zusätzlich bis zu ein Viertel der Gebühr oder des Honorars nach Nr. 1,</w:t>
      </w:r>
    </w:p>
    <w:p>
      <w:r>
        <w:t xml:space="preserve">7. für die Prüfung von Nachträgen zu den Nachweisen infolge von Änderungen oder Fehlern bei einem Umfang der Nachträge von mehr als einem Zwanzigstel</w:t>
      </w:r>
    </w:p>
    <w:p>
      <w:r>
        <w:t xml:space="preserve">eine Gebühr oder ein Honorar je nach dem zusätzlichen Aufwand, in der Regel eine Gebühr oder ein Honorar nach den Nrn. 1, 2, 3, 4 oder Nr. 6 vervielfacht mit dem Verhältnis des Umfangs der Nachträge zum ursprünglichen Umfang, höchstens jedoch jeweils die Gebühren oder die Honorare nach den Nrn. 1, 2, 3, 4 oder Nr. 6.</w:t>
      </w:r>
    </w:p>
    <w:p>
      <w:r>
        <w:t xml:space="preserve">(2) Für die Prüfung von Standsicherheitsnachweisen bei Nutzungsänderungen, Umbauten und Aufstockungen wird je nach dem zusätzlichen Aufwand ein Zuschlag bis zur Hälfte der Gebühr oder des Honorars nach Abs. 1 Nrn. 1 und 2 vergütet.</w:t>
      </w:r>
    </w:p>
    <w:p>
      <w:r>
        <w:t xml:space="preserve">(3) Werden Teile des rechnerischen Nachweises der Standsicherheit in größeren Zeitabständen vorgelegt und wird dadurch der Prüfaufwand erheblich erhöht, wird ein Zuschlag bis zur Hälfte der Gebühr oder des Honorars nach Abs. 1 Nr. 1 vergütet.</w:t>
      </w:r>
    </w:p>
    <w:p>
      <w:r>
        <w:t xml:space="preserve">(4) In besonderen Fällen können, wenn die Gebühren oder die Honorare nach Abs. 1 bis 3 in einem groben Missverhältnis zum Aufwand für die Leistung stehen, abweichend davon höhere oder niedrigere Gebühren oder Honorare berechnet werden, die den besonderen Schwierigkeitsgrad oder den veränderten Umfang einer Leistung berücksichtigen.</w:t>
      </w:r>
    </w:p>
    <w:p>
      <w:r>
        <w:t xml:space="preserve">(5) Nach Zeitaufwand werden vergütet</w:t>
      </w:r>
    </w:p>
    <w:p>
      <w:r>
        <w:t xml:space="preserve">1. Leistungen, die durch anrechenbare Bauwerte nicht zu erfassende bauliche Anlagen oder Bauteile zum Gegenstand haben oder bei denen die über die anrechenbaren Bauwerte nach § 29 Abs. 1 und 2 ermittelten Gebühren oder Honorare in einem groben Missverhältnis zum Aufwand stehen,</w:t>
      </w:r>
    </w:p>
    <w:p>
      <w:r>
        <w:t xml:space="preserve">2. die Prüfung von Nachweisen der Standsicherheit von Außenwandbekleidungen und Fassaden, für die ein Standsicherheitsnachweis geführt werden muss,</w:t>
      </w:r>
    </w:p>
    <w:p>
      <w:r>
        <w:t xml:space="preserve">3. die Prüfung von besonderen rechnerischen Nachweisen für die Feuerwiderstandsfähigkeit der tragenden Bauteile,</w:t>
      </w:r>
    </w:p>
    <w:p>
      <w:r>
        <w:t xml:space="preserve">4. die Prüfung von zusätzlichen Nachweisen wie Erdbebenschutz, Militärlastklassen, Bergschädensicherung, Bauzustände und Baugrubensicherung,</w:t>
      </w:r>
    </w:p>
    <w:p>
      <w:r>
        <w:t xml:space="preserve">5. die Überwachung von Baumaßnahmen in statisch-konstruktiver Hinsicht,</w:t>
      </w:r>
    </w:p>
    <w:p>
      <w:r>
        <w:t xml:space="preserve">6. sonstige Leistungen, die in den Nrn. 1 bis 5 und in Abs. 1 bis 4 nicht aufgeführt sind.</w:t>
      </w:r>
    </w:p>
    <w:p>
      <w:r>
        <w:t xml:space="preserve">Bei der Berechnung der Gebühr und des Honorars ist die Zeit anzusetzen, die üblicherweise von einer entsprechend ausgebildeten Fachkraft benötigt wird. Für jede Arbeitsstunde wird ein Betrag von 1,847 v.H. des Monatsgrundgehalts eines Landesbeamten in der Endstufe der Besoldungsgruppe A 15 berechnet. Der Betrag ist auf volle Euro aufzurunden. In dem Stundensatz ist die Umsatzsteuer enthalten.</w:t>
      </w:r>
    </w:p>
    <w:p>
      <w:r>
        <w:t xml:space="preserve">(6) Als Mindestgebühr und als Mindesthonorar für eine Prüfung wird der zweifache Stundensatz nach Abs. 5 vergütet.</w:t>
      </w:r>
    </w:p>
    <w:p>
      <w:r>
        <w:rPr>
          <w:color w:val="555555"/>
          <w:sz w:val="17"/>
        </w:rPr>
        <w:t xml:space="preserve">Zitiervorschlag: § 31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