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PrüfVBau (Bayern) — Berechnungsart der Vergütung</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Grundgebühr und das Grundhonorar errechnen sich in Abhängigkeit von den anrechenbaren Bauwerten (§ 29 Abs. 1 und 2) und der Bauwerksklasse (§ 29 Abs. 4) nach Maßgabe der Gebühren- und Honorartafel nach Anlage 3. Für Zwischenwerte der anrechenbaren Bauwerte sind die Grundgebühr und das Grundhonorar durch geradlinige Interpolation zu ermitteln.</w:t>
      </w:r>
    </w:p>
    <w:p>
      <w:r>
        <w:t xml:space="preserve">(2) Umfasst ein Prüfauftrag mehrere in statisch-konstruktiver Hinsicht unterschiedliche bauliche Anlagen, so sind die Gebühr und das Honorar für jede einzelne bauliche Anlage getrennt zu ermitteln. Gehören bauliche Anlagen jedoch der gleichen Bauwerksklasse an, so sind, wenn sie auch im Übrigen in statisch-konstruktiver Hinsicht weitgehend vergleichbar sind und die Bauvorlagen gleichzeitig zur Prüfung vorgelegt werden, die anrechenbaren Bauwerte dieser baulichen Anlagen zusammenzufassen; die Gebühr und das Honorar sind danach wie für eine einzige bauliche Anlage zu ermitteln. Abs. 3 und 4 bleiben unberührt.</w:t>
      </w:r>
    </w:p>
    <w:p>
      <w:r>
        <w:t xml:space="preserve">(3) Umfasst ein Prüfauftrag mehrere bauliche Anlagen mit gleichen Standsicherheitsnachweisen einschließlich gleichen Nachweisen der Feuerwiderstandsfähigkeit der tragenden Bauteile, so ermäßigen sich die Gebühren und die Honorare nach § 31 Abs. 1 Nrn. 1 bis 5 sowie nach Abs. 2 und 3 für die zweite und jede weitere bauliche Anlage auf ein Zehntel. Für Abweichungen in einzelnen baulichen Anlagen mit zusätzlichen rechnerischen Nachweisen und zugehörigen Konstruktionszeichnungen ist die Gebühr nach § 31 Abs. 5 zu berechnen.</w:t>
      </w:r>
    </w:p>
    <w:p>
      <w:r>
        <w:t xml:space="preserve">(4) Besteht eine bauliche Anlage aus gleichartigen durch Dehnfugen unterteilten Abschnitten, für welche zumindest derselbe rechnerische Standsicherheitsnachweis und dieselben Nachweise der Feuerwiderstandsfähigkeit der tragenden Bauteile gelten sollen, so ermäßigen sich die Gebühr und das Honorar nach § 31 Abs. 1 Nrn. 1 bis 5 sowie Abs. 2 und 3 für den zweiten und jeden weiteren gleichartigen Abschnitt auf die Hälfte. Das gilt nicht, wenn nur Deckenfelder, Stützenzüge oder Binder in einer baulichen Anlage gleich sind.</w:t>
      </w:r>
    </w:p>
    <w:p>
      <w:r>
        <w:t xml:space="preserve">(5) Bauhilfskonstruktionen, ausgenommen Baugrubensicherungen, ohne direkte Verbindung zum oder Abhängigkeit vom Bauwerk oder ohne direkte Verbindung zu oder Abhängigkeit von neu zu erstellenden Bauteilen, für die Standsicherheitsnachweise zu prüfen sind, gelten als gesonderte bauliche Anlagen.</w:t>
      </w:r>
    </w:p>
    <w:p>
      <w:r>
        <w:t xml:space="preserve">(6) Fahrtkosten für notwendige Reisen, die über den Umkreis von 15 km vom Geschäftssitz des Prüfingenieurs oder des Prüfsachverständigen für Standsicherheit hinausgehen, können in Höhe der steuerlich zulässigen Pauschalsätze in Ansatz gebracht werden. Fahrt- und Wartezeiten sind nach dem Zeitaufwand (§ 31 Abs. 5) zu ersetzen. Sonstige Auslagen werden nur erstattet, wenn dies bei Auftragserteilung schriftlich vereinbart worden ist.</w:t>
      </w:r>
    </w:p>
    <w:p>
      <w:r>
        <w:rPr>
          <w:color w:val="555555"/>
          <w:sz w:val="17"/>
        </w:rPr>
        <w:t xml:space="preserve">Zitiervorschlag: § 30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