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PrüfVBau (Bayern) — Anrechenbare Bauwerte und Bauwerksklassen</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in Anlage 1 aufgeführten baulichen Anlagen sind die anrechenbaren Bauwerte aus dem Brutto-Rauminhalt der baulichen Anlage, vervielfältigt mit dem jeweils angegebenen Wert je Kubikmeter Brutto-Rauminhalt, zu berechnen. Die anrechenbaren Bauwerte in Anlage 1 basieren auf der Indexzahl 1,000 für das Jahr 2005. Für die folgenden Jahre sind die dort angegebenen anrechenbaren Bauwerte jährlich mit einer Indexzahl zu vervielfältigen, die sich aus dem arithmetischen Mittel der vom Statistischen Bundesamt ermittelten jährlichen Baupreisindizes für Bauleistungen am Bauwerk für den Neubau von Wohngebäuden, Bürogebäuden und gewerblichen Betriebsgebäuden errechnet; maßgeblich sind die jeweiligen Baupreisindizes des Vorjahres ohne Umsatzsteuer. Die fortgeschriebenen anrechenbaren Bauwerte gelten jeweils ab dem 1. Juni jeden Jahres.</w:t>
      </w:r>
    </w:p>
    <w:p>
      <w:r>
        <w:t xml:space="preserve">(2) Für die nicht in der Anlage 1 aufgeführten baulichen Anlagen sind die anrechenbaren Bauwerte die Kosten nach § 48 Abs. 1 bis 3 der Honorarordnung für Architekten und Ingenieure (HOAI). Zu den anrechenbaren Bauwerten zählen auch die nicht in den Kosten nach Satz 1 enthaltenen Kosten für Bauteile, für die ein Standsicherheitsnachweis geprüft werden muss, ausgenommen die Kosten für Außenwandbekleidungen und für Fassaden. Bei Umbauten sind auch die Kosten für Abbrucharbeiten anrechenbar. Nicht anrechenbar sind die auf die Kosten nach den Sätzen 1 bis 3 entfallende Umsatzsteuer und die in § 48 Abs. 4 HOAI genannten Kosten. Bei der Ermittlung der anrechenbaren Bauwerte ist von den Kosten der Kostenberechnung auszugehen, die ortsüblich im Zeitpunkt der Auftragserteilung für die Herstellung der baulichen Anlagen erforderlich sind. Einsparungen durch Eigenleistungen oder Vergünstigungen sind nicht zu berücksichtigen.</w:t>
      </w:r>
    </w:p>
    <w:p>
      <w:r>
        <w:t xml:space="preserve">(3) Die anrechenbaren Bauwerte sind jeweils auf volle tausend Euro aufzurunden.</w:t>
      </w:r>
    </w:p>
    <w:p>
      <w:r>
        <w:t xml:space="preserve">(4) Die zu prüfenden baulichen Anlagen werden entsprechend ihrem statischen und konstruktiven Schwierigkeitsgrad in fünf Bauwerksklassen nach Anlage 2 eingeteilt. Besteht eine bauliche Anlage aus Bauteilen mit unterschiedlichem Schwierigkeitsgrad, so ist sie entsprechend dem überwiegenden Leistungsumfang einzustufen.</w:t>
      </w:r>
    </w:p>
    <w:p>
      <w:r>
        <w:t xml:space="preserve">(5) Mit dem Prüfauftrag teilt die untere Bauaufsichtsbehörde dem Prüfingenieur die anrechenbaren Bauwerte, die für die Gebührenberechnung anzuwendende Bauwerksklasse und etwaige Zuschläge mit.</w:t>
      </w:r>
    </w:p>
    <w:p>
      <w:r>
        <w:rPr>
          <w:color w:val="555555"/>
          <w:sz w:val="17"/>
        </w:rPr>
        <w:t xml:space="preserve">Zitiervorschlag: § 29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