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PrüfVBau (Bayern) — Allgemeines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Prüfingenieure und Prüfsachverständigen für Standsicherheit erhalten für ihre Leistungen eine Vergütung. Die Vergütung besteht</w:t>
      </w:r>
    </w:p>
    <w:p>
      <w:r>
        <w:t xml:space="preserve">1. bei den Prüfingenieuren aus der Gebühr,</w:t>
      </w:r>
    </w:p>
    <w:p>
      <w:r>
        <w:t xml:space="preserve">2. bei den Prüfsachverständigen aus dem Honorar</w:t>
      </w:r>
    </w:p>
    <w:p>
      <w:r>
        <w:t xml:space="preserve">sowie den notwendigen Auslagen.</w:t>
      </w:r>
    </w:p>
    <w:p>
      <w:r>
        <w:t xml:space="preserve">(2) Die Gebühr und das Honorar richten sich nach den anrechenbaren Bauwerten (§ 29 Abs. 1 und 2) und der Bauwerksklasse (§ 29 Abs. 4), soweit die Leistungen nicht nach dem Zeitaufwand (§ 31 Abs. 5) zu vergüten sind; der zeitliche Prüfaufwand ist für jeden Auftrag festzuhalten. Für die Bestimmung der anrechenbaren Bauwerte ist Anlage 1 in der zum Zeitpunkt der Erteilung des Prüf- oder Bescheinigungsauftrags geltenden Fassung, für die Berechnung der Gebühr oder des Honorars Anlage 3 in der zum Zeitpunkt der abschließenden Leistungserbringung geltenden Fassung maßgeblich.</w:t>
      </w:r>
    </w:p>
    <w:p>
      <w:r>
        <w:t xml:space="preserve">(3) Wird die Prüfung aus Gründen abgebrochen, die vom Prüfingenieur oder vom Prüfsachverständigen für Standsicherheit nicht zu vertreten sind, so wird die Prüfung entsprechend der anteilig erbrachten Leistung vergütet.</w:t>
      </w:r>
    </w:p>
    <w:p>
      <w:r>
        <w:t xml:space="preserve">(4) Schuldner der Vergütung ist, wer die Prüfung in Auftrag gegeben hat.</w:t>
      </w:r>
    </w:p>
    <w:p>
      <w:r>
        <w:t xml:space="preserve">(5) Ein Nachlass auf die Gebühr und das Honorar ist unzulässig.</w:t>
      </w:r>
    </w:p>
    <w:p>
      <w:r>
        <w:rPr>
          <w:color w:val="555555"/>
          <w:sz w:val="17"/>
        </w:rPr>
        <w:t xml:space="preserve">Zitiervorschlag: § 28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