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PrüfVBau (Bayern) — Besondere Voraussetzungen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Prüfsachverständige für den Erd- und Grundbau werden nur Personen anerkannt, die</w:t>
      </w:r>
    </w:p>
    <w:p>
      <w:r>
        <w:t xml:space="preserve">1. als Angehörige der Fachrichtung Bauingenieurwesen, der Geotechnik oder eines Studiengangs mit Schwerpunkt Ingenieurgeologie ein Studium an einer deutschen Hochschule oder ein gleichwertiges Studium an einer ausländischen Hochschule abgeschlossen haben,</w:t>
      </w:r>
    </w:p>
    <w:p>
      <w:r>
        <w:t xml:space="preserve">2. neun Jahre im Bauwesen tätig, davon mindestens drei Jahre im Erd- und Grundbau mit der Anfertigung oder Beurteilung von Standsicherheitsnachweisen betraut gewesen sind,</w:t>
      </w:r>
    </w:p>
    <w:p>
      <w:r>
        <w:t xml:space="preserve">3. über vertiefte Kenntnisse und Erfahrungen im Erd- und Grundbau verfügen,</w:t>
      </w:r>
    </w:p>
    <w:p>
      <w:r>
        <w:t xml:space="preserve">4. weder selbst noch ihre Mitarbeiter noch Angehörige des Zusammenschlusses nach § 4 Satz 2 Nr. 2 an einem Unternehmen der Bauwirtschaft oder an einem Bohrunternehmen beteiligt sind.</w:t>
      </w:r>
    </w:p>
    <w:p>
      <w:r>
        <w:t xml:space="preserve">Der Nachweis der Anerkennungsvoraussetzungen nach Satz 1 Nr. 3 ist durch ein Fachgutachten eines Beirats, der bei einer vom Staatsministerium bestimmten Stelle gebildet ist, zu erbringen. Über das Vorliegen der Zulassungsvoraussetzung nach Satz 1 Nr. 4 hat der Bewerber eine besondere Erklärung abzugeben.</w:t>
      </w:r>
    </w:p>
    <w:p>
      <w:r>
        <w:t xml:space="preserve">(2) Abweichend von § 4 Satz 1 Nr. 3 müssen Prüfsachverständige für den Erd- und Grundbau nicht eigenverantwortlich tätig sein, wenn sie in fachlicher Hinsicht für ihre Tätigkeit allein verantwortlich sind und Weisungen nicht unterliegen.</w:t>
      </w:r>
    </w:p>
    <w:p>
      <w:r>
        <w:rPr>
          <w:color w:val="555555"/>
          <w:sz w:val="17"/>
        </w:rPr>
        <w:t xml:space="preserve">Zitiervorschlag: § 25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