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PrüfVBau (Bayern) — Fachrichtungen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Prüfsachverständige für die Prüfung sicherheitstechnischer Anlagen und Einrichtungen können für folgende Fachrichtungen anerkannt werden:</w:t>
      </w:r>
    </w:p>
    <w:p>
      <w:r>
        <w:t xml:space="preserve">1. Lüftungsanlagen (§ 2 Abs. 1 Nr. 1 SPrüfV),</w:t>
      </w:r>
    </w:p>
    <w:p>
      <w:r>
        <w:t xml:space="preserve">2. CO-Warnanlagen (§ 2 Abs. 1 Nr. 2 SPrüfV),</w:t>
      </w:r>
    </w:p>
    <w:p>
      <w:r>
        <w:t xml:space="preserve">3. Rauch- und Wärmeabzugsanlagen (§ 2 Abs. 1 Nr. 3 SPrüfV),</w:t>
      </w:r>
    </w:p>
    <w:p>
      <w:r>
        <w:t xml:space="preserve">4. Brandmelde- und Alarmierungsanlagen (§ 2 Abs. 1 Nr. 6 SPrüfV),</w:t>
      </w:r>
    </w:p>
    <w:p>
      <w:r>
        <w:t xml:space="preserve">5. Sicherheitsstromversorgungen (§ 2 Abs. 1 Nr. 7 SPrüfV),</w:t>
      </w:r>
    </w:p>
    <w:p>
      <w:r>
        <w:t xml:space="preserve">6. Feuerlöschanlagen (§ 2 Abs. 1 Nrn. 4 und 5 SPrüfV).</w:t>
      </w:r>
    </w:p>
    <w:p>
      <w:r>
        <w:t xml:space="preserve">Die Anerkennung nach Satz 1 Nr. 1 kann auf Lüftungsanlagen für Garagen (§ 14 Abs. 1 der Garagen- und Stellplatzverordnung) beschränkt werden.</w:t>
      </w:r>
    </w:p>
    <w:p>
      <w:r>
        <w:rPr>
          <w:color w:val="555555"/>
          <w:sz w:val="17"/>
        </w:rPr>
        <w:t xml:space="preserve">Zitiervorschlag: § 23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