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PrüfVBau (Bayern) — Besondere Voraussetzungen</w:t>
      </w:r>
    </w:p>
    <w:p>
      <w:r>
        <w:rPr>
          <w:color w:val="555555"/>
          <w:sz w:val="18"/>
        </w:rPr>
        <w:t xml:space="preserve">Prüfsachverständigenverordnung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Als Prüfsachverständige für Vermessung im Bauwesen werden Personen anerkannt, die</w:t>
      </w:r>
    </w:p>
    <w:p>
      <w:r>
        <w:t xml:space="preserve">1. ein Studium im Studiengang Vermessungswesen an einer deutschen Hochschule oder ein gleichwertiges Studium an einer ausländischen Hochschule mit Erfolg abgeschlossen haben und</w:t>
      </w:r>
    </w:p>
    <w:p>
      <w:r>
        <w:t xml:space="preserve">2. über eine dreijährige Berufserfahrung im Vermessungswesen verfügen.</w:t>
      </w:r>
    </w:p>
    <w:p>
      <w:r>
        <w:rPr>
          <w:color w:val="555555"/>
          <w:sz w:val="17"/>
        </w:rPr>
        <w:t xml:space="preserve">Zitiervorschlag: § 20 PrüfVBau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https://recht.nulegal.eu/gesetze/Pr%C3%BCfVBau/20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