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PrüfVBau (Bayern) — Typenprüfung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Sollen prüf- oder bescheinigungspflichtige bauliche Anlagen oder Teile von baulichen Anlagen (Art. 62a Abs. 2 BayBO) in gleicher Ausführung an mehreren Stellen errichtet oder verwendet werden, ohne dass deren Standsicherheit bauaufsichtlich geprüft oder durch einen Prüfsachverständigen bescheinigt ist, müssen die Standsicherheitsnachweise von einem Prüfamt geprüft sein (Typenprüfung).</w:t>
      </w:r>
    </w:p>
    <w:p>
      <w:r>
        <w:t xml:space="preserve">(2) Die Geltungsdauer der Typenprüfung ist zu befristen; sie soll nicht mehr als fünf Jahre betragen. Sie kann auf schriftlichen Antrag um jeweils höchstens fünf Jahre verlängert werden.</w:t>
      </w:r>
    </w:p>
    <w:p>
      <w:r>
        <w:rPr>
          <w:color w:val="555555"/>
          <w:sz w:val="17"/>
        </w:rPr>
        <w:t xml:space="preserve">Zitiervorschlag: § 15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