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PrüfVBau (Bayern) — Anwendungsbereich</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die Anerkennung und Tätigkeit der Prüfingenieure und Prüfsachverständigen in den Fachbereichen nach Satz 2, ferner die Rechtsverhältnisse der Prüfämter und die Typenprüfung. Prüfingenieure und Prüfsachverständige werden anerkannt im Fachbereich Standsicherheit; Prüfsachverständige werden darüber hinaus anerkannt in den Fachbereichen</w:t>
      </w:r>
    </w:p>
    <w:p>
      <w:r>
        <w:t xml:space="preserve">1. Brandschutz,</w:t>
      </w:r>
    </w:p>
    <w:p>
      <w:r>
        <w:t xml:space="preserve">2. Vermessung im Bauwesen,</w:t>
      </w:r>
    </w:p>
    <w:p>
      <w:r>
        <w:t xml:space="preserve">3. sicherheitstechnische Anlagen und Einrichtungen sowie</w:t>
      </w:r>
    </w:p>
    <w:p>
      <w:r>
        <w:t xml:space="preserve">4. Erd- und Grundbau.</w:t>
      </w:r>
    </w:p>
    <w:p>
      <w:r>
        <w:rPr>
          <w:color w:val="555555"/>
          <w:sz w:val="17"/>
        </w:rPr>
        <w:t xml:space="preserve">Zitiervorschlag: § 1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