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PrüfV 2017 — Ort der Berichterstattung</w:t>
      </w:r>
    </w:p>
    <w:p>
      <w:r>
        <w:rPr>
          <w:color w:val="555555"/>
          <w:sz w:val="18"/>
        </w:rPr>
        <w:t xml:space="preserve">Prüfungsberichteverordnung</w:t>
      </w:r>
    </w:p>
    <w:p>
      <w:r>
        <w:rPr>
          <w:color w:val="555555"/>
          <w:sz w:val="18"/>
        </w:rPr>
        <w:t xml:space="preserve">Stand: 07.05.2026 (konsolidierte Textfassung, kein amtliches Inkrafttretensdatum)</w:t>
      </w:r>
    </w:p>
    <w:p>
      <w:r>
        <w:t xml:space="preserve">Die Berichterstattung nach diesem Kapitel kann auch im Prüfungsbericht für den Einzelabschluss des Mutterunternehmens erfolgen.</w:t>
      </w:r>
    </w:p>
    <w:p>
      <w:r>
        <w:rPr>
          <w:color w:val="555555"/>
          <w:sz w:val="17"/>
        </w:rPr>
        <w:t xml:space="preserve">Zitiervorschlag: § 53 PrüfV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https://recht.nulegal.eu/gesetze/Pr%C3%BCfV%202017/53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