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40a PrüfV 2017 — Einhaltung der Pflichten gemäß der Verordnung (EU) 2019/2088 und gemäß der Verordnung (EU) 2020/852</w:t>
      </w:r>
    </w:p>
    <w:p>
      <w:r>
        <w:rPr>
          <w:color w:val="555555"/>
          <w:sz w:val="18"/>
        </w:rPr>
        <w:t xml:space="preserve">Prüfungsberichteverordnung</w:t>
      </w:r>
    </w:p>
    <w:p>
      <w:r>
        <w:rPr>
          <w:color w:val="555555"/>
          <w:sz w:val="18"/>
        </w:rPr>
        <w:t xml:space="preserve">Stand: 07.05.2026 (konsolidierte Textfassung, kein amtliches Inkrafttretensdatum)</w:t>
      </w:r>
    </w:p>
    <w:p>
      <w:r>
        <w:t xml:space="preserve">(1) Der Prüfer hat zu beurteilen, ob und inwieweit die Angaben zur Erfüllung der Anforderungen nach den Artikeln 3 bis 13 der Verordnung (EU) 2019/2088 und nach den Artikeln 5 bis 7 der Verordnung (EU) 2020/852 den gesetzlichen Anforderungen entsprechen. Die Beurteilung hat unter Berücksichtigung von Leitlinien und Verlautbarungen zur einheitlichen Auslegung der in Satz 1 genannten Verordnungen zu erfolgen, die von folgenden Institutionen veröffentlicht werden:</w:t>
      </w:r>
    </w:p>
    <w:p>
      <w:pPr>
        <w:ind w:left="420"/>
      </w:pPr>
      <w:r>
        <w:t xml:space="preserve">1. der Europäischen Kommission,</w:t>
      </w:r>
    </w:p>
    <w:p>
      <w:pPr>
        <w:ind w:left="420"/>
      </w:pPr>
      <w:r>
        <w:t xml:space="preserve">2. den Europäischen Aufsichtsbehörden des Europäischen Finanzaufsichtssystems und</w:t>
      </w:r>
    </w:p>
    <w:p>
      <w:pPr>
        <w:ind w:left="420"/>
      </w:pPr>
      <w:r>
        <w:t xml:space="preserve">3. der Bundesanstalt.</w:t>
      </w:r>
    </w:p>
    <w:p>
      <w:r>
        <w:t xml:space="preserve">Die Prüfungsergebnisse sind jeweils zusammenfassend für die unternehmensbezogenen Offenlegungspflichten nach den Artikeln 3 bis 5 in Verbindung mit Artikel 12 der Verordnung (EU) 2019/2088, für die produktbezogenen Offenlegungspflichten nach den Artikeln 6 bis 12 der Verordnung (EU) 2019/2088 und nach den Artikeln 5 bis 7 der Verordnung (EU) 2020/852 sowie für die Widerspruchsfreiheit zwischen Marketingmitteilungen und zu veröffentlichenden Informationen nach Artikel 13 der Verordnung (EU) 2019/2088 darzustellen. Die Beurteilung und deren Begründung hat jeweils separat für die in den jeweiligen Artikeln aufgestellten Anforderungen zu erfolgen, wobei die festgestellten Mängel darzustellen und nach ihrer Schwere zu bewerten sind. Bei geprüften Produkten, bei denen Widersprüche zwischen Marketingmitteilungen und zu veröffentlichenden Informationen im Sinne des Artikels 13 der Verordnung (EU) 2019/2088 festgestellt wurden, sind diese Widersprüche darzustellen.</w:t>
      </w:r>
    </w:p>
    <w:p>
      <w:r>
        <w:t xml:space="preserve">(2) Darüber hinaus hat der Prüfer die organisatorischen Vorkehrungen zur Erfüllung der Anforderungen nach den Artikeln 3 bis 13 der Verordnung (EU) 2019/2088 zusammenfassend darzustellen und zu beurteilen, inwieweit diese angemessen sind. Dabei hat der Prüfer auch die organisatorischen Vorkehrungen darzustellen, die sicherstellen sollen, dass die Marketingmitteilungen nicht im Widerspruch zu den gemäß der Verordnung (EU) 2019/2088 veröffentlichten Informationen stehen, und die festgestellten organisatorischen Mängel anzugeben.</w:t>
      </w:r>
    </w:p>
    <w:p>
      <w:r>
        <w:rPr>
          <w:color w:val="555555"/>
          <w:sz w:val="17"/>
        </w:rPr>
        <w:t xml:space="preserve">Zitiervorschlag: § 40a PrüfV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https://recht.nulegal.eu/gesetze/Pr%C3%BCfV%202017/40a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