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PrüfV 2017 — Schaden- und Unfallversicherungsunternehmen</w:t>
      </w:r>
    </w:p>
    <w:p>
      <w:r>
        <w:rPr>
          <w:color w:val="555555"/>
          <w:sz w:val="18"/>
        </w:rPr>
        <w:t xml:space="preserve">Prüfungsberichteverordnung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 Schaden- und Unfallversicherungsunternehmen ist über die Ertragslage aus dem versicherungstechnischen Geschäft nach Maßgabe der Absätze 2 und 3 zu berichten. Dabei ist auf wesentliche Ertrags- und Aufwandsfaktoren einzugehen.</w:t>
      </w:r>
    </w:p>
    <w:p>
      <w:r>
        <w:t xml:space="preserve">(2) Die Ertragslage aus dem versicherungstechnischen Geschäft ist darzustellen für</w:t>
      </w:r>
    </w:p>
    <w:p>
      <w:pPr>
        <w:ind w:left="420"/>
      </w:pPr>
      <w:r>
        <w:t xml:space="preserve">1. das selbst abgeschlossene Versicherungsgeschäft</w:t>
      </w:r>
    </w:p>
    <w:p>
      <w:pPr>
        <w:ind w:left="780"/>
      </w:pPr>
      <w:r>
        <w:t xml:space="preserve">a) vor Zuführung zur erfolgsabhängigen Rückstellung für Beitragsrückerstattung und zur Schwankungsrückstellung,</w:t>
      </w:r>
    </w:p>
    <w:p>
      <w:pPr>
        <w:ind w:left="780"/>
      </w:pPr>
      <w:r>
        <w:t xml:space="preserve">b) nach Zuführung zur erfolgsabhängigen Rückstellung für Beitragsrückerstattung und zur Schwankungsrückstellung;</w:t>
      </w:r>
    </w:p>
    <w:p>
      <w:pPr>
        <w:ind w:left="420"/>
      </w:pPr>
      <w:r>
        <w:t xml:space="preserve">2. das in Rückdeckung übernommene Versicherungsgeschäft</w:t>
      </w:r>
    </w:p>
    <w:p>
      <w:pPr>
        <w:ind w:left="780"/>
      </w:pPr>
      <w:r>
        <w:t xml:space="preserve">a) vor Zuführung zur erfolgsabhängigen Rückstellung für Beitragsrückerstattung und zur Schwankungsrückstellung,</w:t>
      </w:r>
    </w:p>
    <w:p>
      <w:pPr>
        <w:ind w:left="780"/>
      </w:pPr>
      <w:r>
        <w:t xml:space="preserve">b) nach Zuführung zur erfolgsabhängigen Rückstellung für Beitragsrückerstattung und zur Schwankungsrückstellung.</w:t>
      </w:r>
    </w:p>
    <w:p>
      <w:r>
        <w:t xml:space="preserve">Die Angaben sind jeweils nach dem Bruttoanteil, dem Nettoanteil und dem Anteil aus dem in Rückdeckung gegebenen Geschäft zu unterteilen.</w:t>
      </w:r>
    </w:p>
    <w:p>
      <w:r>
        <w:t xml:space="preserve">(3) Zu den wesentlichen Versicherungszweiggruppen, Versicherungszweigen und Versicherungsarten entsprechend der Gliederung in § 51 Absatz 4 Nummer 1 Satz 3 der Versicherungsunternehmens-Rechnungslegungsverordnung ist gesondert nach Maßgabe des Absatzes 1 Satz 2 und des Absatzes 2 zu berichten.</w:t>
      </w:r>
    </w:p>
    <w:p>
      <w:r>
        <w:rPr>
          <w:color w:val="555555"/>
          <w:sz w:val="17"/>
        </w:rPr>
        <w:t xml:space="preserve">Zitiervorschlag: § 39 PrüfV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https://recht.nulegal.eu/gesetze/Pr%C3%BCfV%202017/39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