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 PrüfV 2017 — Lebens- und Krankenversicherungsunternehmen</w:t>
      </w:r>
    </w:p>
    <w:p>
      <w:r>
        <w:rPr>
          <w:color w:val="555555"/>
          <w:sz w:val="18"/>
        </w:rPr>
        <w:t xml:space="preserve">Prüfungsberichteverordnung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Lebens- und Krankenversicherungsunternehmen hat sich die Berichterstattung insbesondere zu erstrecken auf</w:t>
      </w:r>
    </w:p>
    <w:p>
      <w:pPr>
        <w:ind w:left="420"/>
      </w:pPr>
      <w:r>
        <w:t xml:space="preserve">1. die Zusammensetzung der verdienten Bruttobeiträge,</w:t>
      </w:r>
    </w:p>
    <w:p>
      <w:pPr>
        <w:ind w:left="420"/>
      </w:pPr>
      <w:r>
        <w:t xml:space="preserve">2. das Ergebnis aus Kapitalanlagen und seine wesentlichen Komponenten,</w:t>
      </w:r>
    </w:p>
    <w:p>
      <w:pPr>
        <w:ind w:left="420"/>
      </w:pPr>
      <w:r>
        <w:t xml:space="preserve">3. Veränderungen der Deckungsrückstellung,</w:t>
      </w:r>
    </w:p>
    <w:p>
      <w:pPr>
        <w:ind w:left="420"/>
      </w:pPr>
      <w:r>
        <w:t xml:space="preserve">4. größere Veränderungen in der Zusammensetzung der Aufwendungen für Versicherungsfälle,</w:t>
      </w:r>
    </w:p>
    <w:p>
      <w:pPr>
        <w:ind w:left="420"/>
      </w:pPr>
      <w:r>
        <w:t xml:space="preserve">5. wesentliche Komponenten der Aufwendungen für den Versicherungsbetrieb und</w:t>
      </w:r>
    </w:p>
    <w:p>
      <w:pPr>
        <w:ind w:left="420"/>
      </w:pPr>
      <w:r>
        <w:t xml:space="preserve">6. das sonstige versicherungstechnische Ergebnis, das Ergebnis aus dem abgegebenen Versicherungsgeschäft sowie das nichtversicherungstechnische Ergebnis.</w:t>
      </w:r>
    </w:p>
    <w:p>
      <w:r>
        <w:rPr>
          <w:color w:val="555555"/>
          <w:sz w:val="17"/>
        </w:rPr>
        <w:t xml:space="preserve">Zitiervorschlag: § 38 PrüfV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https://recht.nulegal.eu/gesetze/Pr%C3%BCfV%202017/38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 PrüfV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