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36 PrüfV 2017 — Finanzrückversicherungsverträge</w:t>
      </w:r>
    </w:p>
    <w:p>
      <w:r>
        <w:rPr>
          <w:color w:val="555555"/>
          <w:sz w:val="18"/>
        </w:rPr>
        <w:t xml:space="preserve">Prüfungsberichteverordnung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Über Finanzrückversicherungsverträge im Sinne des § 167 des Versicherungsaufsichtsgesetzes und über Verträge, die nach dem Risikotransfertest gemäß § 4 der Finanzrückversicherungsverordnung keinen hinreichenden Risikotransfer aufweisen, ist jeweils unter Nennung der wesentlichen Vertragsinhalte und der Vertragspartner zu berichten.</w:t>
      </w:r>
    </w:p>
    <w:p>
      <w:r>
        <w:t xml:space="preserve">(2) Zur Angemessenheit und Wirksamkeit des Verfahrens zur Durchführung des Risikotransfertests gemäß § 5 der Finanzrückversicherungsverordnung sowie der internen Verwaltungs- und Rechnungslegungsverfahren gemäß § 7 der Finanzrückversicherungsverordnung ist Stellung zu nehmen.</w:t>
      </w:r>
    </w:p>
    <w:p>
      <w:r>
        <w:rPr>
          <w:color w:val="555555"/>
          <w:sz w:val="17"/>
        </w:rPr>
        <w:t xml:space="preserve">Zitiervorschlag: § 36 PrüfV 2017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https://recht.nulegal.eu/gesetze/Pr%C3%BCfV%202017/36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