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34 PrüfV 2017 — Kostenverteilung</w:t>
      </w:r>
    </w:p>
    <w:p>
      <w:r>
        <w:rPr>
          <w:color w:val="555555"/>
          <w:sz w:val="18"/>
        </w:rPr>
        <w:t xml:space="preserve">Prüfungsberichteverordnung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Bei Unternehmensverbindungen ist die Kostenverteilung auf die einzelnen Unternehmen sowie innerhalb des zu prüfenden Versicherungsunternehmens auf die einzelnen Funktionsbereiche, die in § 43 Absatz 1 Satz 1 der Versicherungsunternehmens-Rechnungslegungsverordnung genannt sind, und auf die sonstigen Aufwendungen unter Aufteilung auf die einzelnen Versicherungszweige und Versicherungsarten darzustellen. Es ist zu beurteilen, ob die Kostenverteilung verursachungsgerecht ist.</w:t>
      </w:r>
    </w:p>
    <w:p>
      <w:r>
        <w:rPr>
          <w:color w:val="555555"/>
          <w:sz w:val="17"/>
        </w:rPr>
        <w:t xml:space="preserve">Zitiervorschlag: § 34 PrüfV 2017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https://recht.nulegal.eu/gesetze/Pr%C3%BCfV%202017/34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34 PrüfV 2017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