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33 PrüfV 2017 — Geschäfte mit besonderen Kapitalanlagen</w:t>
      </w:r>
    </w:p>
    <w:p>
      <w:r>
        <w:rPr>
          <w:color w:val="555555"/>
          <w:sz w:val="18"/>
        </w:rPr>
        <w:t xml:space="preserve">Prüfungsberichteverordnung</w:t>
      </w:r>
    </w:p>
    <w:p>
      <w:r>
        <w:rPr>
          <w:color w:val="555555"/>
          <w:sz w:val="18"/>
        </w:rPr>
        <w:t xml:space="preserve">Stand: 10.06.2019 (konsolidierte Textfassung, kein amtliches Inkrafttretensdatum)</w:t>
      </w:r>
    </w:p>
    <w:p>
      <w:r>
        <w:t xml:space="preserve">(1) Bei Geschäften mit besonderen Kapitalanlagen ist deren Einfluss auf die Vermögens-, Finanz- und Ertragslage im Sinne des § 264 Absatz 2 des Handelsgesetzbuchs darzustellen. Als besondere Kapitalanlagen sind insbesondere aufzufassen</w:t>
      </w:r>
    </w:p>
    <w:p>
      <w:pPr>
        <w:ind w:left="420"/>
      </w:pPr>
      <w:r>
        <w:t xml:space="preserve">1. Derivate,</w:t>
      </w:r>
    </w:p>
    <w:p>
      <w:pPr>
        <w:ind w:left="420"/>
      </w:pPr>
      <w:r>
        <w:t xml:space="preserve">2. strukturierte Produkte,</w:t>
      </w:r>
    </w:p>
    <w:p>
      <w:pPr>
        <w:ind w:left="420"/>
      </w:pPr>
      <w:r>
        <w:t xml:space="preserve">3. Hedgefonds,</w:t>
      </w:r>
    </w:p>
    <w:p>
      <w:pPr>
        <w:ind w:left="420"/>
      </w:pPr>
      <w:r>
        <w:t xml:space="preserve">4. Anlagen in außerbörslichem Eigenkapital,</w:t>
      </w:r>
    </w:p>
    <w:p>
      <w:pPr>
        <w:ind w:left="420"/>
      </w:pPr>
      <w:r>
        <w:t xml:space="preserve">5. strukturierte Finanzinstrumente, die mit Forderungsrechten besichert sind,</w:t>
      </w:r>
    </w:p>
    <w:p>
      <w:pPr>
        <w:ind w:left="420"/>
      </w:pPr>
      <w:r>
        <w:t xml:space="preserve">6. mit Kreditrisiken verknüpfte Finanzinstrumente und</w:t>
      </w:r>
    </w:p>
    <w:p>
      <w:pPr>
        <w:ind w:left="420"/>
      </w:pPr>
      <w:r>
        <w:t xml:space="preserve">7. Rohstoffe.</w:t>
      </w:r>
    </w:p>
    <w:p>
      <w:r>
        <w:t xml:space="preserve">(2) Bei Geschäften mit derivativen Finanzinstrumenten ist darzulegen, ob die Voraussetzungen des § 15 Absatz 1 Satz 2 des Versicherungsaufsichtsgesetzes vorlagen. Das Ergebnis aus diesen Geschäften ist darzustellen. Es ist darzustellen, wie sich das Ergebnis aus Geschäften mit Derivaten in den einzelnen Posten der Bilanz und der Gewinn- und Verlust-Rechnung ausgewirkt hat. Darüber hinaus sind diejenigen Posten der Bilanz oder der Gewinn- und Verlust-Rechnung aufzuführen, denen Beträge aus Geschäften mit Derivaten zugeordnet wurden. Die Bewertungsmethoden sind darzulegen.</w:t>
      </w:r>
    </w:p>
    <w:p>
      <w:r>
        <w:t xml:space="preserve">(3) Das Kontrollsystem für den Abschluss, die Abwicklung und die Erfassung der Derivate, insbesondere das Buchungssystem sowie die Kompetenz- und Zeichnungsbefugnisse, sind darzustellen. Dabei ist insbesondere auf die Befolgung von Arbeitsanweisungen der Geschäftsleitung zu diesen Geschäften sowie die Berichterstattung gegenüber dem Vorstand und dem Aufsichtsrat einzugehen. Es ist zu erläutern, ob das Kontrollsystem jederzeit einen Überblick über diese Geschäfte erlaubt. Über die Einhaltung der Anforderungen an Mitarbeitergeschäfte in Derivaten ist zu berichten.</w:t>
      </w:r>
    </w:p>
    <w:p>
      <w:r>
        <w:rPr>
          <w:color w:val="555555"/>
          <w:sz w:val="17"/>
        </w:rPr>
        <w:t xml:space="preserve">Zitiervorschlag: § 33 PrüfV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https://recht.nulegal.eu/gesetze/Pr%C3%BCfV%202017/33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33 PrüfV 2017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