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PrüfV 2017 — Anlage und Struktur der Kapitalanlagen</w:t>
      </w:r>
    </w:p>
    <w:p>
      <w:r>
        <w:rPr>
          <w:color w:val="555555"/>
          <w:sz w:val="18"/>
        </w:rPr>
        <w:t xml:space="preserve">Prüfungsberichteverordnung</w:t>
      </w:r>
    </w:p>
    <w:p>
      <w:r>
        <w:rPr>
          <w:color w:val="555555"/>
          <w:sz w:val="18"/>
        </w:rPr>
        <w:t xml:space="preserve">Stand: 10.06.2019 (konsolidierte Textfassung, kein amtliches Inkrafttretensdatum)</w:t>
      </w:r>
    </w:p>
    <w:p>
      <w:r>
        <w:t xml:space="preserve">(1) Die Grundzüge der Bilanzierung und Bewertung der Kapitalanlagen sind darzustellen. Dabei ist insbesondere auf die Ausübung von Wahlrechten und Ermessensspielräumen sowie die Bildung von Bewertungseinheiten und deren Auswirkungen auf die Vermögens- und Ertragslage einzugehen.</w:t>
      </w:r>
    </w:p>
    <w:p>
      <w:r>
        <w:t xml:space="preserve">(2) Die Struktur der Kapitalanlagen ist unter Berücksichtigung des betriebenen Versicherungsgeschäfts darzustellen. Dabei ist insbesondere auf die Sicherheit der Kapitalanlagen, deren Fristigkeit sowie deren Sensitivität auf Kapitalmarktschwankungen einzugehen.</w:t>
      </w:r>
    </w:p>
    <w:p>
      <w:r>
        <w:rPr>
          <w:color w:val="555555"/>
          <w:sz w:val="17"/>
        </w:rPr>
        <w:t xml:space="preserve">Zitiervorschlag: § 32 PrüfV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https://recht.nulegal.eu/gesetze/Pr%C3%BCfV%202017/32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