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PrüfV 2017 — Liquiditätslage</w:t>
      </w:r>
    </w:p>
    <w:p>
      <w:r>
        <w:rPr>
          <w:color w:val="555555"/>
          <w:sz w:val="18"/>
        </w:rPr>
        <w:t xml:space="preserve">Prüfungsberichteverordnung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Art der Liquiditätsvorsorge ist darzustellen. Ergeben sich während der Prüfung Anhaltspunkte dafür, dass die Liquidität des Versicherungsunternehmens nach dem Bilanzstichtag gefährdet ist, so ist darauf einzugehen.</w:t>
      </w:r>
    </w:p>
    <w:p>
      <w:r>
        <w:t xml:space="preserve">(2) Über Maßnahmen zur Verbesserung der Liquiditätslage ist gegebenenfalls zu berichten. Hierzu gehören auch Angaben über Kreditaufnahmen und über den Kreditrahmen, der dem Unternehmen zur Verfügung steht.</w:t>
      </w:r>
    </w:p>
    <w:p>
      <w:r>
        <w:rPr>
          <w:color w:val="555555"/>
          <w:sz w:val="17"/>
        </w:rPr>
        <w:t xml:space="preserve">Zitiervorschlag: § 30 PrüfV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https://recht.nulegal.eu/gesetze/Pr%C3%BCfV%202017/30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