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PrüfV 2017 — Immaterielle Vermögenswerte</w:t>
      </w:r>
    </w:p>
    <w:p>
      <w:r>
        <w:rPr>
          <w:color w:val="555555"/>
          <w:sz w:val="18"/>
        </w:rPr>
        <w:t xml:space="preserve">Prüfungsberichteverordnung</w:t>
      </w:r>
    </w:p>
    <w:p>
      <w:r>
        <w:rPr>
          <w:color w:val="555555"/>
          <w:sz w:val="18"/>
        </w:rPr>
        <w:t xml:space="preserve">Stand: 10.06.2019 (konsolidierte Textfassung, kein amtliches Inkrafttretensdatum)</w:t>
      </w:r>
    </w:p>
    <w:p>
      <w:r>
        <w:t xml:space="preserve">Der Prüfer hat zur Angemessenheit der Bewertung immaterieller Vermögenswerte Stellung zu nehmen. Dabei ist insbesondere darauf einzugehen, ob für den Ansatz die Voraussetzungen erfüllt sind, die sich aus Artikel 12 Nummer 2 der Delegierten Verordnung (EU) 2015/35 ergeben.</w:t>
      </w:r>
    </w:p>
    <w:p>
      <w:r>
        <w:rPr>
          <w:color w:val="555555"/>
          <w:sz w:val="17"/>
        </w:rPr>
        <w:t xml:space="preserve">Zitiervorschlag: § 12 PrüfV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https://recht.nulegal.eu/gesetze/Pr%C3%BCfV%202017/12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