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PrüVOFortkfmBf</w:t>
      </w:r>
    </w:p>
    <w:p>
      <w:r>
        <w:rPr>
          <w:color w:val="555555"/>
          <w:sz w:val="18"/>
        </w:rPr>
        <w:t xml:space="preserve">Prüfungsverordnung Fortbildungsabschluss kaufmännische Betriebsführung HwO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42 der Handwerksordnung, der durch Artikel 146 der Verordnung vom 31. Oktober 2006 (BGBl. I S. 2407) geändert worden ist, in Verbindung mit § 1 Absatz 2 des Zuständigkeitsanpassungsgesetzes vom 16. August 2002 (BGBl. I S. 3165) und dem Organisationserlass vom 17. Dezember 2013 (BGBl. I S. 4310) verordnet das Bundesministerium für Bildung und Forschung nach Anhörung des Hauptausschusses des Bundesinstituts für Berufsbildung im Einvernehmen mit dem Bundesministerium für Wirtschaft und Energie:</w:t>
      </w:r>
    </w:p>
    <w:p>
      <w:r>
        <w:rPr>
          <w:color w:val="555555"/>
          <w:sz w:val="17"/>
        </w:rPr>
        <w:t xml:space="preserve">Zitiervorschlag: Eingangsformel PrüVOFortkfmBf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https://recht.nulegal.eu/gesetze/Pr%C3%BCVOFortkfmBf/eingangsformel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