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PrüVOFortkfmBf — Zulassungsvoraussetzungen</w:t>
      </w:r>
    </w:p>
    <w:p>
      <w:r>
        <w:rPr>
          <w:color w:val="555555"/>
          <w:sz w:val="18"/>
        </w:rPr>
        <w:t xml:space="preserve">Prüfungsverordnung Fortbildungsabschluss kaufmännische Betriebsführung HwO</w:t>
      </w:r>
    </w:p>
    <w:p>
      <w:r>
        <w:rPr>
          <w:color w:val="555555"/>
          <w:sz w:val="18"/>
        </w:rPr>
        <w:t xml:space="preserve">Stand: 10.06.2019 (konsolidierte Textfassung, kein amtliches Inkrafttretensdatum)</w:t>
      </w:r>
    </w:p>
    <w:p>
      <w:r>
        <w:t xml:space="preserve">(1) Zur Prüfung ist zuzulassen, wer Folgendes nachweist:</w:t>
      </w:r>
    </w:p>
    <w:p>
      <w:pPr>
        <w:ind w:left="420"/>
      </w:pPr>
      <w:r>
        <w:t xml:space="preserve">1. eine erfolgreich abgelegte Gesellen- oder Abschlussprüfung in einem anerkannten dreijährigen Ausbildungsberuf oder</w:t>
      </w:r>
    </w:p>
    <w:p>
      <w:pPr>
        <w:ind w:left="420"/>
      </w:pPr>
      <w:r>
        <w:t xml:space="preserve">2. eine erfolgreich abgelegte Abschlussprüfung in einem anerkannten zweijährigen Ausbildungsberuf und eine zweijährige Berufspraxis.</w:t>
      </w:r>
    </w:p>
    <w:p>
      <w:r>
        <w:t xml:space="preserve">(2) Abweichend von Absatz 1 ist zur Prüfung auch zuzulassen, wer durch Vorlage von Zeugnissen oder auf andere Weise glaubhaft macht, berufliche Fertigkeiten, Kenntnisse und Fähigkeiten (berufliche Handlungsfähigkeit) erworben zu haben, die die Zulassung zur Prüfung rechtfertigen.</w:t>
      </w:r>
    </w:p>
    <w:p>
      <w:r>
        <w:rPr>
          <w:color w:val="555555"/>
          <w:sz w:val="17"/>
        </w:rPr>
        <w:t xml:space="preserve">Zitiervorschlag: § 2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