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PrüVOFortkfmBf — Zeugnisse</w:t>
      </w:r>
    </w:p>
    <w:p>
      <w:r>
        <w:rPr>
          <w:color w:val="555555"/>
          <w:sz w:val="18"/>
        </w:rPr>
        <w:t xml:space="preserve">Prüfungsverordnung Fortbildungsabschluss kaufmännische Betriebsführung HwO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(1) Wer die Prüfung nach § 14 Absatz 1 bestanden hat, erhält von der zuständigen Stelle zwei Zeugnisse nach Maßgabe der Anlage 2 Teil A und B.</w:t>
      </w:r>
    </w:p>
    <w:p>
      <w:r>
        <w:t xml:space="preserve">(2) Auf dem Zeugnis mit den Inhalten nach Anlage 2 Teil B sind die Bewertung mit Punkten und die Gesamtnote als Dezimalzahl mit einer Nachkommastelle und in Worten anzugeben. Jede Befreiung nach § 12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15 PrüVOFortkfmBf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https://recht.nulegal.eu/gesetze/Pr%C3%BCVOFortkfmBf/15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