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PrüVOFortkfmBf — Befreiung von einzelnen Prüfungsbestandteilen</w:t>
      </w:r>
    </w:p>
    <w:p>
      <w:r>
        <w:rPr>
          <w:color w:val="555555"/>
          <w:sz w:val="18"/>
        </w:rPr>
        <w:t xml:space="preserve">Prüfungsverordnung Fortbildungsabschluss kaufmännische Betriebsführung HwO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Wird die zu prüfende Person nach § 42c Absatz 2 der Handwerksordnung von der Ablegung einzelner Prüfungsbestandteile befreit, bleiben diese Prüfungsbestandteile für die Anwendung des § 13 außer Betracht. Für die übrigen Prüfungsbestandteile erhöhen sich die Anteile nach § 13 Absatz 2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12 PrüVOFortkfmBf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https://recht.nulegal.eu/gesetze/Pr%C3%BCVOFortkfmBf/12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