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PrämEhrG (Brandenburg) — Entziehung</w:t>
      </w:r>
    </w:p>
    <w:p>
      <w:r>
        <w:rPr>
          <w:color w:val="555555"/>
          <w:sz w:val="18"/>
        </w:rPr>
        <w:t xml:space="preserve">Prämien- und Ehrenzeichengesetz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Erweist sich die mit einem Ehrenzeichen im Brand- und Katastrophenschutz ausgezeichnete Person durch ihr späteres Verhalten, insbesondere durch eine entehrende Straftat, der Auszeichnung unwürdig oder wird ein solches Verhalten nachträglich bekannt, kann das für Brand- und Katastrophenschutz zuständige Mitglied der Landesregierung das Ehrenzeichen entziehen. Das Ehrenzeichen, die Bandschnalle und die Verleihungsurkunde sind in diesem Fall zurückzugeben.</w:t>
      </w:r>
    </w:p>
    <w:p>
      <w:r>
        <w:t xml:space="preserve">(2) Die betroffene Person ist vor der Entziehung des Ehrenzeichens anzuhören.</w:t>
      </w:r>
    </w:p>
    <w:p>
      <w:r>
        <w:t xml:space="preserve">(3) Öffentliche Stellen des Landes Brandenburg sind verpflichtet, dem für Brand- und Katastrophenschutz zuständigen Ministerium die für die Prüfung der Auszeichnungswürdigkeit erforderlichen Auskünfte zu erteilen.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23 PrämEhrG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https://recht.nulegal.eu/gesetze/Pr%C3%A4mEhrG/23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