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PpUGV 2021 — Anwendungsbereich</w:t>
      </w:r>
    </w:p>
    <w:p>
      <w:r>
        <w:rPr>
          <w:color w:val="555555"/>
          <w:sz w:val="18"/>
        </w:rPr>
        <w:t xml:space="preserve">Pflegepersonaluntergrenzen-Verordnung</w:t>
      </w:r>
    </w:p>
    <w:p>
      <w:r>
        <w:rPr>
          <w:color w:val="555555"/>
          <w:sz w:val="18"/>
        </w:rPr>
        <w:t xml:space="preserve">Stand: 09.11.2023 (konsolidierte Textfassung, kein amtliches Inkrafttretensdatum)</w:t>
      </w:r>
    </w:p>
    <w:p>
      <w:r>
        <w:t xml:space="preserve">(1) Diese Verordnung regelt die Festlegung von Pflegepersonaluntergrenzen in pflegesensitiven Bereichen in Krankenhäusern nach § 137i des Fünften Buches Sozialgesetzbuch.</w:t>
      </w:r>
    </w:p>
    <w:p>
      <w:r>
        <w:t xml:space="preserve">(2) Als pflegesensitiv werden die nach Maßgabe von § 3 zu ermittelnden Bereiche in Krankenhäusern festgelegt, in denen Leistungen der Intensivmedizin, Inneren Medizin, Geriatrie, Unfallchirurgie, Neurochirurgie, allgemeinen Chirurgie, Orthopädie, Gynäkologie und Geburtshilfe, Kardiologie, Neurologie, allgemeinen Pädiatrie, pädiatrischen Intensivmedizin, speziellen Pädiatrie, neonatologischen Pädiatrie, Hals-Nasen-Ohrenheilkunde, Rheumatologie, Urologie oder Herzchirurgie erbracht werden.</w:t>
      </w:r>
    </w:p>
    <w:p>
      <w:r>
        <w:t xml:space="preserve">(3) Die Pflegepersonaluntergrenzen finden keine Anwendung, soweit die jeweils geltenden und im Bundesanzeiger bekannt gemachten Beschlüsse des Gemeinsamen Bundesausschusses eine niedrigere Anzahl von Patientinnen und Patienten im Verhältnis zu einer Pflegekraft festlegen.</w:t>
      </w:r>
    </w:p>
    <w:p>
      <w:r>
        <w:rPr>
          <w:color w:val="555555"/>
          <w:sz w:val="17"/>
        </w:rPr>
        <w:t xml:space="preserve">Zitiervorschlag: § 1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