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PpUGV 2019 — Personalverlagerungen</w:t>
      </w:r>
    </w:p>
    <w:p>
      <w:r>
        <w:rPr>
          <w:color w:val="555555"/>
          <w:sz w:val="18"/>
        </w:rPr>
        <w:t xml:space="preserve">Pflegepersonaluntergrenzen-Verordnung</w:t>
      </w:r>
    </w:p>
    <w:p>
      <w:r>
        <w:rPr>
          <w:color w:val="555555"/>
          <w:sz w:val="18"/>
        </w:rPr>
        <w:t xml:space="preserve">Historische Fassung: Stand 08.11.2019 bis 14.11.2020. Dies ist nicht die aktuelle Fassung.</w:t>
      </w:r>
    </w:p>
    <w:p>
      <w:r>
        <w:t xml:space="preserve">(1) Personalverlagerungen aus anderen Bereichen in der unmittelbaren Patientenversorgung auf bettenführenden Stationen in die pflegesensitiven Bereiche in Krankenhäusern sind unzulässig, wenn sich die Anzahl der Pflegefachkräfte in Vollkräften in den anderen Bereichen in der unmittelbaren Patientenversorgung im Vergleich zum Vorjahr im Jahresdurchschnitt um mehr als 3 Prozent und sich dort zugleich das Verhältnis von Pflegekräften in Vollkräften zu Belegungstagen um mehr als 3 Prozent reduziert hat. Bei der Ermittlung der Belegungstage der Fachabteilungen gilt der Entlassungstag aus einer Fachabteilung nicht als Belegungstag der entlassenden Fachabteilung.</w:t>
      </w:r>
    </w:p>
    <w:p>
      <w:r>
        <w:t xml:space="preserve">(2) Das Institut für das Entgeltsystem im Krankenhaus stellt jährlich zum 30. Juni eines Jahres fest, ob in einem Krankenhaus mit pflegesensitiven Bereichen im Krankenhaus unzulässige Personalverlagerungen gemäß Absatz 1 stattgefunden haben. Das Institut für das Entgeltsystem im Krankenhaus übermittelt dem betroffenen Krankenhaus das Ergebnis der Feststellung nach Satz 1. Das betroffene Krankenhaus hat das ihm übermittelte Ergebnis an die jeweiligen Vertragsparteien nach § 11 des Krankenhausentgeltgesetzes weiterzuleiten.</w:t>
      </w:r>
    </w:p>
    <w:p>
      <w:r>
        <w:t xml:space="preserve">(3) Sind für ein Krankenhaus unzulässige Personalverlagerungen gemäß Absatz 1 festgestellt worden, vereinbaren die Vertragsparteien nach § 11 des Krankenhausentgeltgesetzes geeignete Maßnahmen, die das Krankenhaus zur Vermeidung von Personalverlagerungen zu ergreifen hat.</w:t>
      </w:r>
    </w:p>
    <w:p>
      <w:r>
        <w:rPr>
          <w:color w:val="555555"/>
          <w:sz w:val="17"/>
        </w:rPr>
        <w:t xml:space="preserve">Zitiervorschlag: § 9 PpUGV 2019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https://recht.nulegal.eu/gesetze/PpUGV%202019/9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