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PostbankSZV</w:t>
      </w:r>
    </w:p>
    <w:p>
      <w:r>
        <w:rPr>
          <w:color w:val="555555"/>
          <w:sz w:val="18"/>
        </w:rPr>
        <w:t xml:space="preserve">Postbanksonderzahlungsverordnung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Abs. 2 des Postpersonalrechtsgesetzes vom 14. September 1994 (BGBl. I S. 2325, 2353), der zuletzt durch Artikel 2 Nr. 4 des Gesetzes vom 14. September 2005 (BGBl. I S. 2746) geändert worden ist, verordnet das Bundesministerium der Finanzen nach Anhörung des Vorstands der Deutschen Postbank AG im Einvernehmen mit dem Bundesministerium des Innern:</w:t>
      </w:r>
    </w:p>
    <w:p>
      <w:r>
        <w:rPr>
          <w:color w:val="555555"/>
          <w:sz w:val="17"/>
        </w:rPr>
        <w:t xml:space="preserve">Zitiervorschlag: Eingangsformel PostbankSZV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https://recht.nulegal.eu/gesetze/PostbankSZV/eingangsformel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