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PostbankSZV — Inkrafttreten</w:t>
      </w:r>
    </w:p>
    <w:p>
      <w:r>
        <w:rPr>
          <w:color w:val="555555"/>
          <w:sz w:val="18"/>
        </w:rPr>
        <w:t xml:space="preserve">Postbanksonderzahlungsverordnung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Januar 2005 in Kraft.</w:t>
      </w:r>
    </w:p>
    <w:p>
      <w:r>
        <w:rPr>
          <w:color w:val="555555"/>
          <w:sz w:val="17"/>
        </w:rPr>
        <w:t xml:space="preserve">Zitiervorschlag: § 2 PostbankSZV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https://recht.nulegal.eu/gesetze/PostbankSZV/2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