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PostbankLEntgV</w:t>
      </w:r>
    </w:p>
    <w:p>
      <w:r>
        <w:rPr>
          <w:color w:val="555555"/>
          <w:sz w:val="18"/>
        </w:rPr>
        <w:t xml:space="preserve">Postbankleistungsentgeltverordnung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10 Abs. 2 des Postpersonalrechtsgesetzes vom 14. September 1994 (BGBl. I S. 2325, 2353), der zuletzt durch Artikel 2 Nr. 4 des Gesetzes vom 14. September 2005 (BGBl. I S. 2746) geändert worden ist, verordnet das Bundesministerium der Finanzen nach Anhörung des Vorstands der Deutschen Postbank AG im Einvernehmen mit dem Bundesministerium des Innern:</w:t>
      </w:r>
    </w:p>
    <w:p>
      <w:r>
        <w:rPr>
          <w:color w:val="555555"/>
          <w:sz w:val="17"/>
        </w:rPr>
        <w:t xml:space="preserve">Zitiervorschlag: Eingangsformel PostbankLEntgV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https://recht.nulegal.eu/gesetze/PostbankLEntgV/eingangsformel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