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PostbankLEntgV — Persönlicher Geltungsbereich, leistungsbezogene Entgelte</w:t>
      </w:r>
    </w:p>
    <w:p>
      <w:r>
        <w:rPr>
          <w:color w:val="555555"/>
          <w:sz w:val="18"/>
        </w:rPr>
        <w:t xml:space="preserve">Postbankleistungsentgeltverordnung</w:t>
      </w:r>
    </w:p>
    <w:p>
      <w:r>
        <w:rPr>
          <w:color w:val="555555"/>
          <w:sz w:val="18"/>
        </w:rPr>
        <w:t xml:space="preserve">Stand: 07.07.2020 (konsolidierte Textfassung, kein amtliches Inkrafttretensdatum)</w:t>
      </w:r>
    </w:p>
    <w:p>
      <w:r>
        <w:t xml:space="preserve">Den Beamtinnen und Beamten mit Dienstbezügen, die bei der Deutschen Bank AG beschäftigt sind, kann ein nicht ruhegehaltfähiges leistungsbezogenes Entgelt (Leistungsentgelt) gewährt werden.</w:t>
      </w:r>
    </w:p>
    <w:p>
      <w:r>
        <w:rPr>
          <w:color w:val="555555"/>
          <w:sz w:val="17"/>
        </w:rPr>
        <w:t xml:space="preserve">Zitiervorschlag: § 1 PostbankLEntgV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https://recht.nulegal.eu/gesetze/PostbankLEntgV/1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