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PostbAGSa — Geschäftsführung</w:t>
      </w:r>
    </w:p>
    <w:p>
      <w:r>
        <w:rPr>
          <w:color w:val="555555"/>
          <w:sz w:val="18"/>
        </w:rPr>
        <w:t xml:space="preserve">Satzung der Deutsche Postbank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führt die Geschäfte unter Beachtung der Geschäftsordnung und des vom Aufsichtsrat gebilligten Geschäftsverteilungsplans.</w:t>
      </w:r>
    </w:p>
    <w:p>
      <w:r>
        <w:rPr>
          <w:color w:val="555555"/>
          <w:sz w:val="17"/>
        </w:rPr>
        <w:t xml:space="preserve">Zitiervorschlag: § 8 PostbAGSa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https://recht.nulegal.eu/gesetze/PostbAGSa/8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