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PostbAGSa — Jahresabschluß und ordentliche Hauptversammlung</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Vorstand hat in den ersten drei Monaten des Geschäftsjahres den Jahresabschluß und den Lagebericht für das vergangene Jahr aufzustellen und dem Abschlußprüfer vorzulegen. Nach Eingang des Prüfungsberichts sind der Jahresabschluß, der Lagebericht, der Prüfungsbericht und der Vorschlag für die Verwendung des Bilanzgewinns unverzüglich dem Aufsichtsrat zur Prüfung vorzulegen.</w:t>
      </w:r>
    </w:p>
    <w:p>
      <w:r>
        <w:t xml:space="preserve">(2) Nach Eingang des Berichts des Aufsichtsrats hat der Vorstand unverzüglich die ordentliche Hauptversammlung einzuberufen, die innerhalb der ersten acht Monate eines jeden Geschäftsjahres stattzufinden hat. Sie beschließt über die Entlastung des Vorstands und des Aufsichtsrats, über die Wahl des Abschlußprüfers und über die Verwendung des Bilanzgewinns.</w:t>
      </w:r>
    </w:p>
    <w:p>
      <w:r>
        <w:t xml:space="preserve">(3) Vorstand und Aufsichtsrat sind ermächtigt, bei der Feststellung des Jahresabschlusses den Jahresüberschuß, der nach Abzug der in die gesetzliche Rücklage einzustellenden Beträge und eines Verlustvortrags verbleibt, zum Teil oder ganz in andere Rücklagen einzustellen. Die Einstellung eines größeren Teils als der Hälfte des Jahresüberschusses ist nicht zulässig, soweit die anderen Gewinnrücklagen nach der Einstellung die Hälfte des Grundkapitals übersteigen würden.</w:t>
      </w:r>
    </w:p>
    <w:p>
      <w:r>
        <w:t xml:space="preserve">(4) Der Bilanzgewinn wird an die Aktionäre verteilt, soweit die Hauptversammlung nicht eine andere Verwendung beschließt.</w:t>
      </w:r>
    </w:p>
    <w:p>
      <w:r>
        <w:rPr>
          <w:color w:val="555555"/>
          <w:sz w:val="17"/>
        </w:rPr>
        <w:t xml:space="preserve">Zitiervorschlag: § 22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