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PostbAGSa — Gegenstand des Unternehmens</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Die Gesellschaft ist ein Kreditinstitut im Sinne des § 1 Abs. 1 Satz 1 des Gesetzes über das Kreditwesen und kann die damit zusammenhängenden Tätigkeiten ausüben.</w:t>
      </w:r>
    </w:p>
    <w:p>
      <w:r>
        <w:t xml:space="preserve">(2) Die Gesellschaft ist zu allen sonstigen Geschäften und Maßnahmen berechtigt, die geeignet erscheinen, dem Gegenstand des Unternehmens zu dienen. Sie kann auch andere Unternehmen gleicher oder verwandter Art im In- und Ausland gründen, erwerben und sich an ihnen beteiligen sowie solche Unternehmen leiten oder sich auf die Verwaltung der Beteiligung beschränken. Sie kann ihren Betrieb ganz oder teilweise in verbundene Unternehmen ausgliedern.</w:t>
      </w:r>
    </w:p>
    <w:p>
      <w:r>
        <w:rPr>
          <w:color w:val="555555"/>
          <w:sz w:val="17"/>
        </w:rPr>
        <w:t xml:space="preserve">Zitiervorschlag: § 2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