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PostbAGSa — Geschäftsordnung</w:t>
      </w:r>
    </w:p>
    <w:p>
      <w:r>
        <w:rPr>
          <w:color w:val="555555"/>
          <w:sz w:val="18"/>
        </w:rPr>
        <w:t xml:space="preserve">Satzung der Deutsche Postbank AG (Anhang des Gesetzes zur Umwandlung der Unternehmen der Deutschen Bundespost in die Rechtsform der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Rahmen der zwingenden gesetzlichen Vorschriften und der Bestimmungen dieser Satzung gibt sich der Aufsichtsrat eine Geschäftsordnung.</w:t>
      </w:r>
    </w:p>
    <w:p>
      <w:r>
        <w:rPr>
          <w:color w:val="555555"/>
          <w:sz w:val="17"/>
        </w:rPr>
        <w:t xml:space="preserve">Zitiervorschlag: § 12 PostbAGSa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https://recht.nulegal.eu/gesetze/PostbAGSa/12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