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PostUmwG — zu § 11 Abs. 2</w:t>
      </w:r>
    </w:p>
    <w:p>
      <w:r>
        <w:rPr>
          <w:color w:val="555555"/>
          <w:sz w:val="18"/>
        </w:rPr>
        <w:t xml:space="preserve">Postumwandlungsgesetz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Satzung der Deutsche Post AG (s. PostAGSa) Satzung der Deutsche Postbank AG (s. PostbAGSa) Satzung der Deutsche Telekom AG (s. TelekAGSa)</w:t>
      </w:r>
    </w:p>
    <w:p>
      <w:r>
        <w:rPr>
          <w:color w:val="555555"/>
          <w:sz w:val="17"/>
        </w:rPr>
        <w:t xml:space="preserve">Zitiervorschlag: Anhang PostUmwG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https://recht.nulegal.eu/gesetze/PostUmwG/anhang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