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PostUmwG — Vorstand und Aufsichtsrat</w:t>
      </w:r>
    </w:p>
    <w:p>
      <w:r>
        <w:rPr>
          <w:color w:val="555555"/>
          <w:sz w:val="18"/>
        </w:rPr>
        <w:t xml:space="preserve">Postumwandlungsgesetz</w:t>
      </w:r>
    </w:p>
    <w:p>
      <w:r>
        <w:rPr>
          <w:color w:val="555555"/>
          <w:sz w:val="18"/>
        </w:rPr>
        <w:t xml:space="preserve">Stand: 24.12.2025 (konsolidierte Textfassung, kein amtliches Inkrafttretensdatum)</w:t>
      </w:r>
    </w:p>
    <w:p>
      <w:r>
        <w:t xml:space="preserve">(1) Bei den Aktiengesellschaften werden Vorstände und Aufsichtsräte entsprechend dem Ersten und Zweiten Abschnitt des Vierten Teils des Ersten Buches des Aktiengesetzes gebildet, soweit nachfolgend nichts anderes bestimmt ist.</w:t>
      </w:r>
    </w:p>
    <w:p>
      <w:r>
        <w:t xml:space="preserve">(2) Bei der Wahl der Vertreter der Arbeitnehmer für die Aufsichtsräte sind auch die bei den Aktiengesellschaften beschäftigten Beamten wahlberechtigt und wählbar. Sie gelten als Arbeitnehmer. Soweit das Mitbestimmungsgesetz und die dazu erlassenen Wahlordnungen zwischen Arbeitern, Angestellten und leitenden Angestellten unterscheiden, sind die Beamten diesen Gruppen nach ihrer jeweiligen Beschäftigung zuzuordnen. Im Bereich der Deutsche Post AG (§ 1 Absatz 2) gilt dies sowohl für das Nachfolgeunternehmen nach § 1 Absatz 1 des Postaufgabenüberleitungsgesetzes als Postnachfolgeunternehmen nach § 38 Absatz 1 Nummer 2 und Absatz 2 des Postpersonalrechtsgesetzes als auch für ein das Nachfolgeunternehmen etwaig beherrschendes Unternehmen nach den §§ 17 und 18 des Aktiengesetzes.</w:t>
      </w:r>
    </w:p>
    <w:p>
      <w:r>
        <w:rPr>
          <w:color w:val="555555"/>
          <w:sz w:val="17"/>
        </w:rPr>
        <w:t xml:space="preserve">Zitiervorschlag: § 9 PostUmwG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https://recht.nulegal.eu/gesetze/PostUmwG/9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