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PostUmwG — Bewertung zu Verkehrswerten</w:t>
      </w:r>
    </w:p>
    <w:p>
      <w:r>
        <w:rPr>
          <w:color w:val="555555"/>
          <w:sz w:val="18"/>
        </w:rPr>
        <w:t xml:space="preserve">Postumwandlungsgesetz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Bewertung von Grund und Boden, Bauten und anderen Anlagen sowie von Vorräten ist höchstens der Verkehrswert nach den §§ 7, 9, 10 und 12 des D-Markbilanzgesetzes zum Stichtag der Eröffnungsbilanz anzusetzen.</w:t>
      </w:r>
    </w:p>
    <w:p>
      <w:r>
        <w:t xml:space="preserve">(2) Die übrigen Vermögensgegenstände und Schulden werden mit den Buchwerten unter Berücksichtigung des § 253 Abs. 2 und 3 des Handelsgesetzbuchs fortgeführt.</w:t>
      </w:r>
    </w:p>
    <w:p>
      <w:r>
        <w:t xml:space="preserve">(3) Auf die Deutsche Postbank AG ist Absatz 1 mit der Maßgabe anzuwenden, daß auch Forderungen und Wertpapiere einschließlich der Beteiligungen neu bewertet werden dürfen.</w:t>
      </w:r>
    </w:p>
    <w:p>
      <w:r>
        <w:rPr>
          <w:color w:val="555555"/>
          <w:sz w:val="17"/>
        </w:rPr>
        <w:t xml:space="preserve">Zitiervorschlag: § 6 PostUmwG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https://recht.nulegal.eu/gesetze/PostUmwG/6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