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PostUmwG — Eröffnungsbilanzen</w:t>
      </w:r>
    </w:p>
    <w:p>
      <w:r>
        <w:rPr>
          <w:color w:val="555555"/>
          <w:sz w:val="18"/>
        </w:rPr>
        <w:t xml:space="preserve">Postumwandlungsgesetz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handelsrechtlichen Eröffnungsbilanzen der Aktiengesellschaften sind zu dem in der Satzung bestimmten Tag der Aufnahme der wirtschaftlichen Tätigkeit zu erstellen.</w:t>
      </w:r>
    </w:p>
    <w:p>
      <w:r>
        <w:t xml:space="preserve">(2) Das eingebrachte Betriebsvermögen der Aktiengesellschaften wird mit dem Buchwert gemäß § 5 oder mit dem Verkehrswert gemäß § 6 angesetzt. Jedem Unternehmen steht für sich ein selbständiges Wahlrecht zu.</w:t>
      </w:r>
    </w:p>
    <w:p>
      <w:r>
        <w:t xml:space="preserve">(3) Die in der Eröffnungsbilanz angesetzten Werte gelten für die Folgezeit als Anschaffungs- oder Herstellungskosten, die bei abnutzbaren Vermögensgegenständen jeweils über die Restnutzungsdauer abgeschrieben werden.</w:t>
      </w:r>
    </w:p>
    <w:p>
      <w:r>
        <w:rPr>
          <w:color w:val="555555"/>
          <w:sz w:val="17"/>
        </w:rPr>
        <w:t xml:space="preserve">Zitiervorschlag: § 4 PostUmwG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https://recht.nulegal.eu/gesetze/PostUmwG/4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