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PostUmwG — Aktien</w:t>
      </w:r>
    </w:p>
    <w:p>
      <w:r>
        <w:rPr>
          <w:color w:val="555555"/>
          <w:sz w:val="18"/>
        </w:rPr>
        <w:t xml:space="preserve">Postumwandlungsgesetz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Gründung der Aktiengesellschaften stehen die Aktien dem Bund zu.</w:t>
      </w:r>
    </w:p>
    <w:p>
      <w:r>
        <w:t xml:space="preserve">(2) Für die Dauer von vier Jahren nach Inkrafttreten dieses Gesetzes hält der Bund einen Anteil von mindestens 25 v.H. zuzüglich einer Aktie am Unternehmen Deutsche Postbank AG.</w:t>
      </w:r>
    </w:p>
    <w:p>
      <w:r>
        <w:t xml:space="preserve">(2a) Der Bund kann die Kapitalmehrheit am Unternehmen Deutsche Post AG aufgeben.</w:t>
      </w:r>
    </w:p>
    <w:p>
      <w:r>
        <w:t xml:space="preserve">(3) Bei einer Kapitalerhöhung können neue Aktien mit Zustimmung des Aufsichtsrats auch an Arbeitnehmer der jeweiligen Aktiengesellschaft ausgegeben werden; § 186 Abs. 3 Satz 1 des Aktiengesetzes findet insoweit keine Anwendung.</w:t>
      </w:r>
    </w:p>
    <w:p>
      <w:r>
        <w:rPr>
          <w:color w:val="555555"/>
          <w:sz w:val="17"/>
        </w:rPr>
        <w:t xml:space="preserve">Zitiervorschlag: § 3 PostUmwG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https://recht.nulegal.eu/gesetze/PostUmwG/3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