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PostUmwG — Übergangsvorschriften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Aktiengesellschaften werden nach Maßgabe des § 19 des Postpersonalrechtsgesetzes von den Vorständen der früheren Unternehmen der Deutschen Bundespost geleitet. Die Bestellung von Vorstandsmitgliedern nach § 84 des Aktiengesetzes darf erst erfolgen, sobald die Vertreter der Arbeitnehmer den Aufsichtsräten angehören.</w:t>
      </w:r>
    </w:p>
    <w:p>
      <w:r>
        <w:t xml:space="preserve">(2) Das Bundesministerium für Post und Telekommunikation meldet die Gesellschaften zur Eintragung in das Handelsregister an.</w:t>
      </w:r>
    </w:p>
    <w:p>
      <w:r>
        <w:t xml:space="preserve">(3) Für Rechtshandlungen, die vor der Eintragung der Aktiengesellschaften in deren Namen vorgenommen werden, haftet das jeweilige Teilsondervermögen.</w:t>
      </w:r>
    </w:p>
    <w:p>
      <w:r>
        <w:t xml:space="preserve">(4) Für die Gründungsprüfung nach § 33 Abs. 2 des Aktiengesetzes werden die Gründungsprüfer durch das Bundesministerium für Post und Telekommunikation bestellt. Eine öffentliche Ausschreibung findet nicht statt.</w:t>
      </w:r>
    </w:p>
    <w:p>
      <w:r>
        <w:rPr>
          <w:color w:val="555555"/>
          <w:sz w:val="17"/>
        </w:rPr>
        <w:t xml:space="preserve">Zitiervorschlag: § 15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https://recht.nulegal.eu/gesetze/PostUmwG/15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