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PostUmwG — Satzungen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Rechtsverhältnisse der Aktiengesellschaften werden im Rahmen dieses Gesetzes durch die Satzungen bestimmt.</w:t>
      </w:r>
    </w:p>
    <w:p>
      <w:r>
        <w:t xml:space="preserve">(2) Die Satzungen werden im Anhang zu diesem Gesetz festgestellt.</w:t>
      </w:r>
    </w:p>
    <w:p>
      <w:r>
        <w:t xml:space="preserve">(3) Die Höhe des in § 5 Abs. 1 der Satzungen ausgewiesenen Grundkapitals der Aktiengesellschaften wird vom Bundesministerium für Post und Telekommunikation zum Zeitpunkt der Anmeldung der Gesellschaften überprüft und erforderlichenfalls angepaßt. Änderungen sind im Bundesgesetzblatt zu veröffentlichen. § 23 Abs. 1 Satz 1 des Aktiengesetzes findet bei der Anmeldung der Aktiengesellschaften keine Anwendung.</w:t>
      </w:r>
    </w:p>
    <w:p>
      <w:r>
        <w:t xml:space="preserve">(4) Satzungsänderungen erfolgen nach den Vorschriften des Aktiengesetzes.</w:t>
      </w:r>
    </w:p>
    <w:p>
      <w:r>
        <w:rPr>
          <w:color w:val="555555"/>
          <w:sz w:val="17"/>
        </w:rPr>
        <w:t xml:space="preserve">Zitiervorschlag: § 11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https://recht.nulegal.eu/gesetze/PostUmwG/11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