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PostUmwG — Errichtung der Aktiengesellschaften durch Umwandlung</w:t>
      </w:r>
    </w:p>
    <w:p>
      <w:r>
        <w:rPr>
          <w:color w:val="555555"/>
          <w:sz w:val="18"/>
        </w:rPr>
        <w:t xml:space="preserve">Postumwandlungsgesetz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Unternehmen der Deutschen Bundespost werden in Aktiengesellschaften umgewandelt.</w:t>
      </w:r>
    </w:p>
    <w:p>
      <w:r>
        <w:t xml:space="preserve">(2) Die Aktiengesellschaften erhalten bei Gründung folgende Namen: - Deutsche Post AG, - Deutsche Postbank AG, - Deutsche Telekom AG. Eine abweichende Namensgebung durch die Satzungen der Aktiengesellschaften ist möglich.</w:t>
      </w:r>
    </w:p>
    <w:p>
      <w:r>
        <w:t xml:space="preserve">(3) Soweit sich aus den folgenden Vorschriften nichts anderes ergibt, finden auf die Gründung der Aktiengesellschaften der Erste und Zweite Teil des Ersten Buches des Aktiengesetzes entsprechende Anwendung.</w:t>
      </w:r>
    </w:p>
    <w:p>
      <w:r>
        <w:rPr>
          <w:color w:val="555555"/>
          <w:sz w:val="17"/>
        </w:rPr>
        <w:t xml:space="preserve">Zitiervorschlag: § 1 PostUmwG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https://recht.nulegal.eu/gesetze/PostUmwG/1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