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PostSchliV</w:t>
      </w:r>
    </w:p>
    <w:p>
      <w:r>
        <w:rPr>
          <w:color w:val="555555"/>
          <w:sz w:val="18"/>
        </w:rPr>
        <w:t xml:space="preserve">Post-Schlichtungsverordnung</w:t>
      </w:r>
    </w:p>
    <w:p>
      <w:r>
        <w:rPr>
          <w:color w:val="555555"/>
          <w:sz w:val="18"/>
        </w:rPr>
        <w:t xml:space="preserve">Stand: 19.07.2024 (konsolidierte Textfassung, kein amtliches Inkrafttretensdatum)</w:t>
      </w:r>
    </w:p>
    <w:p>
      <w:r>
        <w:t xml:space="preserve">Auf Grund des § 34 Absatz 8 Satz 1 und 2 des Postgesetzes vom 15. Juli 2024 (BGBl. 2024 I Nr. 236) in Verbindung mit § 1 der PostG-Übertragungsverordnung vom 16. April 2021 (BGBl. I S. 816), verordnet die Bundesnetzagentur für Elektrizität, Gas, Telekommunikation, Post und Eisenbahnen:</w:t>
      </w:r>
    </w:p>
    <w:p>
      <w:r>
        <w:rPr>
          <w:color w:val="555555"/>
          <w:sz w:val="17"/>
        </w:rPr>
        <w:t xml:space="preserve">Zitiervorschlag: Eingangsformel PostSchliV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https://recht.nulegal.eu/gesetze/PostSchliV/eingangsformel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