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PostSchliV — Inkrafttreten</w:t>
      </w:r>
    </w:p>
    <w:p>
      <w:r>
        <w:rPr>
          <w:color w:val="555555"/>
          <w:sz w:val="18"/>
        </w:rPr>
        <w:t xml:space="preserve">Post-Schlichtungsverordnung</w:t>
      </w:r>
    </w:p>
    <w:p>
      <w:r>
        <w:rPr>
          <w:color w:val="555555"/>
          <w:sz w:val="18"/>
        </w:rPr>
        <w:t xml:space="preserve">Stand: 01.07.2022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19 PostSchliV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https://recht.nulegal.eu/gesetze/PostSchliV/19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