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PostSchliV — Kosten</w:t>
      </w:r>
    </w:p>
    <w:p>
      <w:r>
        <w:rPr>
          <w:color w:val="555555"/>
          <w:sz w:val="18"/>
        </w:rPr>
        <w:t xml:space="preserve">Post-Schlichtungsverordnung</w:t>
      </w:r>
    </w:p>
    <w:p>
      <w:r>
        <w:rPr>
          <w:color w:val="555555"/>
          <w:sz w:val="18"/>
        </w:rPr>
        <w:t xml:space="preserve">Stand: 01.07.2022 (konsolidierte Textfassung, kein amtliches Inkrafttretensdatum)</w:t>
      </w:r>
    </w:p>
    <w:p>
      <w:r>
        <w:t xml:space="preserve">Für die Durchführung des Schlichtungsverfahrens werden Gebühren und Auslagen nicht erhoben. Jede Partei trägt die ihr durch die Teilnahme am Verfahren entstehenden Kosten selbst.</w:t>
      </w:r>
    </w:p>
    <w:p>
      <w:r>
        <w:rPr>
          <w:color w:val="555555"/>
          <w:sz w:val="17"/>
        </w:rPr>
        <w:t xml:space="preserve">Zitiervorschlag: § 16 PostSchliV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https://recht.nulegal.eu/gesetze/PostSchliV/16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