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PostSchliV — Durchführung der mündlichen Erörterung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mündliche Erörterung ist nicht öffentlich.</w:t>
      </w:r>
    </w:p>
    <w:p>
      <w:r>
        <w:t xml:space="preserve">(2) Der Streitmittler leitet die mündliche Erörterung unter Beachtung der gesetzlichen Vorgaben nach freiem Ermessen. Es soll ein Schlichtungsgespräch durchgeführt werden. Eine Beweisaufnahme findet nicht statt.</w:t>
      </w:r>
    </w:p>
    <w:p>
      <w:r>
        <w:rPr>
          <w:color w:val="555555"/>
          <w:sz w:val="17"/>
        </w:rPr>
        <w:t xml:space="preserve">Zitiervorschlag: § 11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