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PostSchliV — Anwendungsbereich</w:t>
      </w:r>
    </w:p>
    <w:p>
      <w:r>
        <w:rPr>
          <w:color w:val="555555"/>
          <w:sz w:val="18"/>
        </w:rPr>
        <w:t xml:space="preserve">Post-Schlichtungsverordnung</w:t>
      </w:r>
    </w:p>
    <w:p>
      <w:r>
        <w:rPr>
          <w:color w:val="555555"/>
          <w:sz w:val="18"/>
        </w:rPr>
        <w:t xml:space="preserve">Stand: 19.07.2024 (konsolidierte Textfassung, kein amtliches Inkrafttretensdatum)</w:t>
      </w:r>
    </w:p>
    <w:p>
      <w:r>
        <w:t xml:space="preserve">(1) Gegenstand der außergerichtlichen Streitbeilegung (Schlichtung) sind Streitigkeiten eines Kunden mit einem Anbieter von Postdienstleistungen (Postdienstleister) über Rechte und Pflichten bei Verlust, Entwendung oder Beschädigung von Postsendungen.</w:t>
      </w:r>
    </w:p>
    <w:p>
      <w:r>
        <w:t xml:space="preserve">(2) Kunden im Sinne dieser Verordnung sind Absender und Empfänger von Postsendungen im Sinne des § 34 Absatz 1 Satz 2 des Postgesetzes.</w:t>
      </w:r>
    </w:p>
    <w:p>
      <w:r>
        <w:rPr>
          <w:color w:val="555555"/>
          <w:sz w:val="17"/>
        </w:rPr>
        <w:t xml:space="preserve">Zitiervorschlag: § 1 PostSchliV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https://recht.nulegal.eu/gesetze/PostSchliV/1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